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8E552">
      <w:pPr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对标企业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参考范围</w:t>
      </w:r>
    </w:p>
    <w:p w14:paraId="667635BB"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625151AC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次四川产业基金2026年基金投资板块下属公司薪酬业绩双对标分析咨询服务采购项目，为匹配基金投资板块下属经营主体的薪酬、业绩双维度对标体系。本次咨询服务须从下述企业中选不少于15家单位作为对标样本，围绕样本企业薪酬水平、薪酬结构设置、核心业绩考核指标、薪</w:t>
      </w:r>
      <w:bookmarkStart w:id="0" w:name="_GoBack"/>
      <w:bookmarkEnd w:id="0"/>
      <w:r>
        <w:rPr>
          <w:rFonts w:hint="eastAsia"/>
          <w:lang w:val="en-US" w:eastAsia="zh-CN"/>
        </w:rPr>
        <w:t>酬与业绩联动机制等关键维度，开展全面、规范、精准的对标分析工作。</w:t>
      </w:r>
    </w:p>
    <w:p w14:paraId="7B7216C9">
      <w:pPr>
        <w:bidi w:val="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一、</w:t>
      </w:r>
      <w:r>
        <w:rPr>
          <w:rFonts w:hint="eastAsia" w:ascii="黑体" w:hAnsi="黑体" w:eastAsia="黑体" w:cs="黑体"/>
        </w:rPr>
        <w:t>国资</w:t>
      </w:r>
    </w:p>
    <w:p w14:paraId="4B3501F4">
      <w:pPr>
        <w:bidi w:val="0"/>
        <w:rPr>
          <w:rFonts w:hint="eastAsia"/>
        </w:rPr>
      </w:pPr>
      <w:r>
        <w:rPr>
          <w:rFonts w:hint="eastAsia"/>
        </w:rPr>
        <w:t>北京：北京国管、亦庄国投、中关村资本、北工投资</w:t>
      </w:r>
    </w:p>
    <w:p w14:paraId="6AD19AD8">
      <w:pPr>
        <w:bidi w:val="0"/>
        <w:rPr>
          <w:rFonts w:hint="eastAsia"/>
        </w:rPr>
      </w:pPr>
      <w:r>
        <w:rPr>
          <w:rFonts w:hint="eastAsia"/>
        </w:rPr>
        <w:t>上海：上海国盛资本、浦东科创集团、上海科创集团、浦东创投、临港科创投、孚腾资本</w:t>
      </w:r>
    </w:p>
    <w:p w14:paraId="5A6C5171">
      <w:pPr>
        <w:bidi w:val="0"/>
        <w:rPr>
          <w:rFonts w:hint="eastAsia"/>
        </w:rPr>
      </w:pPr>
      <w:r>
        <w:rPr>
          <w:rFonts w:hint="eastAsia"/>
        </w:rPr>
        <w:t>广东：深创投、深投控资本、广东恒健控股、广州产投资本、广东粤财基金</w:t>
      </w:r>
    </w:p>
    <w:p w14:paraId="0FE1E9D6">
      <w:pPr>
        <w:bidi w:val="0"/>
        <w:rPr>
          <w:rFonts w:hint="eastAsia"/>
        </w:rPr>
      </w:pPr>
      <w:r>
        <w:rPr>
          <w:rFonts w:hint="eastAsia"/>
        </w:rPr>
        <w:t>江苏：锡创投、南创投、苏创投、吴江创投</w:t>
      </w:r>
    </w:p>
    <w:p w14:paraId="043F9742">
      <w:pPr>
        <w:bidi w:val="0"/>
        <w:rPr>
          <w:rFonts w:hint="eastAsia"/>
        </w:rPr>
      </w:pPr>
      <w:r>
        <w:rPr>
          <w:rFonts w:hint="eastAsia"/>
        </w:rPr>
        <w:t>浙江：通商基金、浙江产投、富浙基金、浙江省创新产业私募基金管理有限公司</w:t>
      </w:r>
    </w:p>
    <w:p w14:paraId="0FD2210D">
      <w:pPr>
        <w:bidi w:val="0"/>
        <w:rPr>
          <w:rFonts w:hint="eastAsia"/>
        </w:rPr>
      </w:pPr>
      <w:r>
        <w:rPr>
          <w:rFonts w:hint="eastAsia"/>
        </w:rPr>
        <w:t>安徽：合肥建投资本、中安资本、合肥产投资本、中建材新材料基金</w:t>
      </w:r>
    </w:p>
    <w:p w14:paraId="118EFCEE">
      <w:pPr>
        <w:bidi w:val="0"/>
        <w:rPr>
          <w:rFonts w:hint="eastAsia"/>
        </w:rPr>
      </w:pPr>
      <w:r>
        <w:rPr>
          <w:rFonts w:hint="eastAsia"/>
        </w:rPr>
        <w:t>四川：成都产投集团（成都先进资本管理有限公司、成都科创投集团、成都先进创融资本管理有限公司）、四川省科创投资集团（四川发展科技创新投资私募基金管理有限公司）、策源资本（成都高新新经济创业投资有限公司）</w:t>
      </w:r>
    </w:p>
    <w:p w14:paraId="38879F12">
      <w:pPr>
        <w:bidi w:val="0"/>
        <w:rPr>
          <w:rFonts w:hint="eastAsia"/>
        </w:rPr>
      </w:pPr>
      <w:r>
        <w:rPr>
          <w:rFonts w:hint="eastAsia"/>
        </w:rPr>
        <w:t>其他地区：</w:t>
      </w:r>
    </w:p>
    <w:p w14:paraId="1A99C2B4">
      <w:pPr>
        <w:bidi w:val="0"/>
        <w:rPr>
          <w:rFonts w:hint="eastAsia"/>
        </w:rPr>
      </w:pPr>
      <w:r>
        <w:rPr>
          <w:rFonts w:hint="eastAsia"/>
        </w:rPr>
        <w:t>重庆：重庆渝富高质基金公司、两江资本</w:t>
      </w:r>
    </w:p>
    <w:p w14:paraId="39E6AEAC">
      <w:pPr>
        <w:bidi w:val="0"/>
        <w:rPr>
          <w:rFonts w:hint="eastAsia"/>
        </w:rPr>
      </w:pPr>
      <w:r>
        <w:rPr>
          <w:rFonts w:hint="eastAsia"/>
        </w:rPr>
        <w:t>湖南：财信产业基金、兴湘资本</w:t>
      </w:r>
    </w:p>
    <w:p w14:paraId="43EB8715">
      <w:pPr>
        <w:bidi w:val="0"/>
        <w:rPr>
          <w:rFonts w:hint="eastAsia"/>
        </w:rPr>
      </w:pPr>
      <w:r>
        <w:rPr>
          <w:rFonts w:hint="eastAsia"/>
        </w:rPr>
        <w:t>湖北：光谷产投</w:t>
      </w:r>
    </w:p>
    <w:p w14:paraId="13B4B8A3">
      <w:pPr>
        <w:bidi w:val="0"/>
        <w:rPr>
          <w:rFonts w:hint="eastAsia"/>
        </w:rPr>
      </w:pPr>
      <w:r>
        <w:rPr>
          <w:rFonts w:hint="eastAsia"/>
        </w:rPr>
        <w:t>山东：山东财金资本公司</w:t>
      </w:r>
    </w:p>
    <w:p w14:paraId="55D3D5C8">
      <w:pPr>
        <w:bidi w:val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二、央企/跨区域</w:t>
      </w:r>
    </w:p>
    <w:p w14:paraId="6FDD5BF1">
      <w:pPr>
        <w:bidi w:val="0"/>
        <w:rPr>
          <w:rFonts w:hint="eastAsia"/>
        </w:rPr>
      </w:pPr>
      <w:r>
        <w:rPr>
          <w:rFonts w:hint="eastAsia"/>
        </w:rPr>
        <w:t>中信建投资本、中车资本、国投创合、建发新兴投资、国泰君安创新投资、绿金投资、中国石油昆仑资本、广汽资本</w:t>
      </w:r>
    </w:p>
    <w:p w14:paraId="6DE1CA85">
      <w:pPr>
        <w:bidi w:val="0"/>
        <w:rPr>
          <w:rFonts w:hint="eastAsia"/>
        </w:rPr>
      </w:pPr>
      <w:r>
        <w:rPr>
          <w:rFonts w:hint="eastAsia" w:ascii="黑体" w:hAnsi="黑体" w:eastAsia="黑体" w:cs="黑体"/>
          <w:lang w:val="en-US" w:eastAsia="zh-CN"/>
        </w:rPr>
        <w:t>三、民营</w:t>
      </w:r>
    </w:p>
    <w:p w14:paraId="4BDCA5F8">
      <w:pPr>
        <w:bidi w:val="0"/>
        <w:rPr>
          <w:rFonts w:hint="eastAsia"/>
        </w:rPr>
      </w:pPr>
      <w:r>
        <w:rPr>
          <w:rFonts w:hint="eastAsia"/>
        </w:rPr>
        <w:t>红杉中国、高瓴投资、IDG资本、启明创投、君联资本、经纬创投、达晨财智、鼎晖投资、CPE源峰</w:t>
      </w:r>
    </w:p>
    <w:p w14:paraId="2B2403A1">
      <w:pPr>
        <w:bidi w:val="0"/>
        <w:rPr>
          <w:rFonts w:hint="eastAsia"/>
        </w:rPr>
      </w:pPr>
      <w:r>
        <w:rPr>
          <w:rFonts w:hint="eastAsia" w:ascii="黑体" w:hAnsi="黑体" w:eastAsia="黑体" w:cs="黑体"/>
          <w:lang w:val="en-US" w:eastAsia="zh-CN"/>
        </w:rPr>
        <w:t>四、混改</w:t>
      </w:r>
    </w:p>
    <w:p w14:paraId="08132C19">
      <w:pPr>
        <w:bidi w:val="0"/>
        <w:rPr>
          <w:rFonts w:hint="eastAsia"/>
        </w:rPr>
      </w:pPr>
      <w:r>
        <w:rPr>
          <w:rFonts w:hint="eastAsia"/>
        </w:rPr>
        <w:t>毅达资本、中国诚通基金、兴湘资本、中车国创基管</w:t>
      </w:r>
    </w:p>
    <w:sectPr>
      <w:headerReference r:id="rId6" w:type="first"/>
      <w:headerReference r:id="rId5" w:type="default"/>
      <w:footerReference r:id="rId7" w:type="default"/>
      <w:pgSz w:w="11906" w:h="16838"/>
      <w:pgMar w:top="2098" w:right="1474" w:bottom="1984" w:left="1587" w:header="851" w:footer="992" w:gutter="0"/>
      <w:pgNumType w:fmt="decimal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FFF3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1E6443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1E6443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AFBDE">
    <w:pPr>
      <w:pStyle w:val="5"/>
      <w:ind w:left="0" w:leftChars="0" w:firstLine="0" w:firstLineChars="0"/>
      <w:rPr>
        <w:rFonts w:hint="eastAsia" w:ascii="黑体" w:hAnsi="黑体" w:eastAsia="黑体" w:cs="黑体"/>
        <w:sz w:val="32"/>
        <w:szCs w:val="32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A36DC">
    <w:pPr>
      <w:pStyle w:val="5"/>
      <w:ind w:left="0" w:leftChars="0" w:firstLine="0" w:firstLineChars="0"/>
      <w:rPr>
        <w:rFonts w:hint="eastAsia" w:ascii="黑体" w:hAnsi="黑体" w:eastAsia="黑体" w:cs="黑体"/>
        <w:sz w:val="32"/>
        <w:szCs w:val="32"/>
        <w:lang w:val="en-US" w:eastAsia="zh-CN"/>
      </w:rPr>
    </w:pPr>
    <w:r>
      <w:rPr>
        <w:rFonts w:hint="eastAsia" w:ascii="黑体" w:hAnsi="黑体" w:eastAsia="黑体" w:cs="黑体"/>
        <w:sz w:val="32"/>
        <w:szCs w:val="32"/>
        <w:lang w:val="en-US" w:eastAsia="zh-CN"/>
      </w:rPr>
      <w:t>附件</w:t>
    </w:r>
    <w:r>
      <w:rPr>
        <w:rFonts w:hint="default" w:ascii="Times New Roman" w:hAnsi="Times New Roman" w:eastAsia="黑体" w:cs="Times New Roman"/>
        <w:sz w:val="32"/>
        <w:szCs w:val="32"/>
        <w:lang w:val="en-US" w:eastAsia="zh-CN"/>
      </w:rPr>
      <w:t>1</w:t>
    </w:r>
  </w:p>
  <w:p w14:paraId="097BC9F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9C1C25"/>
    <w:rsid w:val="002657CB"/>
    <w:rsid w:val="01611F49"/>
    <w:rsid w:val="16DE5E38"/>
    <w:rsid w:val="1FAD6B4E"/>
    <w:rsid w:val="388D4D7E"/>
    <w:rsid w:val="44124087"/>
    <w:rsid w:val="469F5869"/>
    <w:rsid w:val="529C1C25"/>
    <w:rsid w:val="644C161A"/>
    <w:rsid w:val="6CD1426D"/>
    <w:rsid w:val="7B66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6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黑体" w:hAnsi="黑体" w:eastAsia="黑体"/>
      <w:b/>
      <w:kern w:val="44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要求二级"/>
    <w:basedOn w:val="1"/>
    <w:uiPriority w:val="0"/>
    <w:pPr>
      <w:adjustRightInd w:val="0"/>
      <w:snapToGrid w:val="0"/>
      <w:spacing w:after="0" w:line="576" w:lineRule="exact"/>
      <w:ind w:firstLine="440" w:firstLineChars="200"/>
    </w:pPr>
    <w:rPr>
      <w:rFonts w:hint="eastAsia" w:ascii="Times New Roman" w:hAnsi="Times New Roman" w:eastAsia="楷体" w:cs="Times New Roman"/>
      <w:sz w:val="32"/>
      <w:szCs w:val="32"/>
      <w14:ligatures w14:val="standardContextual"/>
    </w:rPr>
  </w:style>
  <w:style w:type="paragraph" w:customStyle="1" w:styleId="9">
    <w:name w:val="要求正文"/>
    <w:basedOn w:val="1"/>
    <w:qFormat/>
    <w:uiPriority w:val="0"/>
    <w:pPr>
      <w:snapToGrid w:val="0"/>
      <w:spacing w:line="576" w:lineRule="exact"/>
      <w:ind w:firstLine="440" w:firstLineChars="200"/>
      <w:jc w:val="left"/>
    </w:pPr>
    <w:rPr>
      <w:rFonts w:ascii="Times New Roman" w:hAnsi="Times New Roman" w:eastAsia="仿宋_GB2312" w:cs="Times New Roman"/>
      <w:sz w:val="32"/>
      <w:szCs w:val="32"/>
      <w14:ligatures w14:val="standardContextual"/>
    </w:rPr>
  </w:style>
  <w:style w:type="paragraph" w:customStyle="1" w:styleId="10">
    <w:name w:val="要求标题"/>
    <w:basedOn w:val="1"/>
    <w:qFormat/>
    <w:uiPriority w:val="0"/>
    <w:pPr>
      <w:spacing w:line="576" w:lineRule="exact"/>
      <w:ind w:firstLine="0" w:firstLineChars="0"/>
      <w:jc w:val="center"/>
    </w:pPr>
    <w:rPr>
      <w:rFonts w:ascii="Times New Roman" w:hAnsi="Times New Roman" w:eastAsia="方正小标宋_GBK" w:cs="Times New Roman"/>
      <w:sz w:val="44"/>
      <w:szCs w:val="44"/>
      <w14:ligatures w14:val="standardContextual"/>
    </w:rPr>
  </w:style>
  <w:style w:type="paragraph" w:customStyle="1" w:styleId="11">
    <w:name w:val="要求一级"/>
    <w:basedOn w:val="1"/>
    <w:link w:val="12"/>
    <w:qFormat/>
    <w:uiPriority w:val="0"/>
    <w:pPr>
      <w:snapToGrid w:val="0"/>
      <w:spacing w:line="576" w:lineRule="exact"/>
      <w:ind w:firstLine="440" w:firstLineChars="200"/>
    </w:pPr>
    <w:rPr>
      <w:rFonts w:hint="eastAsia" w:ascii="Times New Roman" w:hAnsi="Times New Roman" w:eastAsia="黑体" w:cs="Times New Roman"/>
      <w:sz w:val="32"/>
      <w:szCs w:val="32"/>
      <w14:ligatures w14:val="standardContextual"/>
    </w:rPr>
  </w:style>
  <w:style w:type="character" w:customStyle="1" w:styleId="12">
    <w:name w:val="要求一级 Char"/>
    <w:link w:val="11"/>
    <w:uiPriority w:val="0"/>
    <w:rPr>
      <w:rFonts w:hint="eastAsia" w:ascii="Times New Roman" w:hAnsi="Times New Roman" w:eastAsia="黑体" w:cs="Times New Roman"/>
      <w:sz w:val="32"/>
      <w:szCs w:val="32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1c5bfc-593b-483b-8631-fb5b664dd7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636</Words>
  <Characters>644</Characters>
  <Lines>0</Lines>
  <Paragraphs>0</Paragraphs>
  <TotalTime>3</TotalTime>
  <ScaleCrop>false</ScaleCrop>
  <LinksUpToDate>false</LinksUpToDate>
  <CharactersWithSpaces>644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2026-08-06T06:18:00Z</dcterms:created>
  <dc:creator>陈宇欣</dc:creator>
  <cp:lastModifiedBy>陈宇欣</cp:lastModifiedBy>
  <cp:lastPrinted>2026-08-06T08:12:00Z</cp:lastPrinted>
  <dcterms:modified xsi:type="dcterms:W3CDTF">2026-08-06T08:19:55Z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39EE9E6652DB4D13B3BA5B908B6B7047_11</vt:lpwstr>
  </property>
  <property fmtid="{D5CDD505-2E9C-101B-9397-08002B2CF9AE}" pid="4" name="KSOTemplateDocerSaveRecord">
    <vt:lpwstr>eyJoZGlkIjoiOTI3Y2I4MDEzYTUwNTU0YTlmNDdhZWFmYTM1YTVmNWUiLCJ1c2VySWQiOiIxNjg4NTY5NTYzIn0=</vt:lpwstr>
  </property>
</Properties>
</file>